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0"/>
          <w:szCs w:val="18"/>
        </w:rPr>
      </w:pPr>
      <w:r>
        <w:drawing>
          <wp:inline distT="0" distB="0" distL="0" distR="0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jc w:val="center"/>
        <w:rPr>
          <w:b/>
        </w:rPr>
      </w:pPr>
      <w:r>
        <w:rPr>
          <w:b/>
        </w:rPr>
        <w:t>UNIVERSIDADE FEDERAL DA PARAÍBA</w:t>
      </w:r>
    </w:p>
    <w:p>
      <w:pPr>
        <w:jc w:val="center"/>
        <w:rPr>
          <w:b/>
        </w:rPr>
      </w:pPr>
    </w:p>
    <w:p>
      <w:pPr>
        <w:pStyle w:val="2"/>
      </w:pPr>
      <w:r>
        <w:t>REQUERIMENTO DE ISENÇÃO DE TAXA DE INSCRIÇÃO</w:t>
      </w:r>
    </w:p>
    <w:tbl>
      <w:tblPr>
        <w:tblStyle w:val="4"/>
        <w:tblW w:w="9874" w:type="dxa"/>
        <w:jc w:val="center"/>
        <w:tblLayout w:type="fixed"/>
        <w:tblCellMar>
          <w:top w:w="0" w:type="dxa"/>
          <w:left w:w="30" w:type="dxa"/>
          <w:bottom w:w="0" w:type="dxa"/>
          <w:right w:w="70" w:type="dxa"/>
        </w:tblCellMar>
      </w:tblPr>
      <w:tblGrid>
        <w:gridCol w:w="2586"/>
        <w:gridCol w:w="1488"/>
        <w:gridCol w:w="926"/>
        <w:gridCol w:w="4873"/>
      </w:tblGrid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873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873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SENHOR PR</w:t>
            </w:r>
            <w:r>
              <w:rPr>
                <w:rFonts w:eastAsia="Times New Roman" w:cs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ESIDENTE DA COMISSÃO DE SELEÇÃO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873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widowControl w:val="0"/>
              <w:ind w:left="-400" w:right="0" w:firstLine="407"/>
              <w:rPr>
                <w:sz w:val="16"/>
              </w:rPr>
            </w:pPr>
          </w:p>
          <w:p>
            <w:pPr>
              <w:widowControl w:val="0"/>
              <w:ind w:left="-400" w:right="0" w:firstLine="407"/>
              <w:rPr>
                <w:sz w:val="16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407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widowControl w:val="0"/>
              <w:rPr>
                <w:sz w:val="16"/>
              </w:rPr>
            </w:pPr>
          </w:p>
          <w:p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widowControl w:val="0"/>
              <w:jc w:val="left"/>
              <w:rPr>
                <w:sz w:val="16"/>
              </w:rPr>
            </w:pPr>
          </w:p>
          <w:p>
            <w:pPr>
              <w:widowControl w:val="0"/>
              <w:rPr>
                <w:sz w:val="16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407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widowControl w:val="0"/>
              <w:rPr>
                <w:sz w:val="16"/>
              </w:rPr>
            </w:pPr>
          </w:p>
          <w:p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widowControl w:val="0"/>
              <w:rPr>
                <w:sz w:val="16"/>
              </w:rPr>
            </w:pPr>
          </w:p>
          <w:p>
            <w:pPr>
              <w:widowControl w:val="0"/>
              <w:rPr>
                <w:sz w:val="16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9873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rPr>
                <w:b/>
                <w:sz w:val="16"/>
              </w:rPr>
            </w:pPr>
          </w:p>
          <w:p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  <w:p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9873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trHeight w:val="843" w:hRule="atLeast"/>
          <w:jc w:val="center"/>
        </w:trPr>
        <w:tc>
          <w:tcPr>
            <w:tcW w:w="500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jc w:val="center"/>
              <w:rPr>
                <w:sz w:val="16"/>
              </w:rPr>
            </w:pPr>
          </w:p>
          <w:p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widowControl w:val="0"/>
              <w:jc w:val="center"/>
              <w:rPr>
                <w:sz w:val="16"/>
              </w:rPr>
            </w:pPr>
          </w:p>
          <w:p>
            <w:pPr>
              <w:widowControl w:val="0"/>
              <w:jc w:val="center"/>
              <w:rPr>
                <w:sz w:val="16"/>
              </w:rPr>
            </w:pPr>
          </w:p>
          <w:p>
            <w:pPr>
              <w:widowControl w:val="0"/>
              <w:jc w:val="center"/>
              <w:rPr>
                <w:sz w:val="16"/>
              </w:rPr>
            </w:pPr>
          </w:p>
          <w:p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8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widowControl w:val="0"/>
              <w:jc w:val="center"/>
              <w:rPr>
                <w:sz w:val="16"/>
              </w:rPr>
            </w:pPr>
          </w:p>
          <w:p>
            <w:pPr>
              <w:widowControl w:val="0"/>
              <w:jc w:val="center"/>
              <w:rPr>
                <w:sz w:val="16"/>
              </w:rPr>
            </w:pPr>
          </w:p>
          <w:p>
            <w:pPr>
              <w:widowControl w:val="0"/>
              <w:jc w:val="center"/>
              <w:rPr>
                <w:sz w:val="16"/>
              </w:rPr>
            </w:pPr>
          </w:p>
          <w:p>
            <w:pPr>
              <w:widowControl w:val="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9873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jc w:val="both"/>
              <w:rPr>
                <w:rFonts w:hint="default"/>
                <w:b/>
                <w:bCs/>
                <w:lang w:val="pt-BR"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n. 6.135/2007¹ e do item 5.1 do Edital n. </w:t>
            </w:r>
            <w:r>
              <w:rPr>
                <w:rFonts w:hint="default" w:cs="Times New Roman"/>
                <w:b/>
                <w:bCs/>
                <w:color w:val="00000A"/>
                <w:kern w:val="0"/>
                <w:sz w:val="24"/>
                <w:szCs w:val="24"/>
                <w:lang w:val="en-US" w:eastAsia="pt-BR" w:bidi="ar-SA"/>
              </w:rPr>
              <w:t>18</w:t>
            </w:r>
            <w:r>
              <w:rPr>
                <w:b/>
                <w:bCs/>
              </w:rPr>
              <w:t>/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202</w:t>
            </w:r>
            <w:r>
              <w:rPr>
                <w:rFonts w:hint="default" w:cs="Times New Roman"/>
                <w:b/>
                <w:bCs/>
                <w:color w:val="00000A"/>
                <w:kern w:val="0"/>
                <w:sz w:val="24"/>
                <w:szCs w:val="24"/>
                <w:lang w:val="en-US" w:eastAsia="pt-BR" w:bidi="ar-SA"/>
              </w:rPr>
              <w:t>3</w:t>
            </w:r>
            <w:r>
              <w:rPr>
                <w:b/>
                <w:bCs/>
              </w:rPr>
              <w:t>, publicado no DOU n.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º 66, de 05/04/2023, seção 3, p. 57- 58</w:t>
            </w:r>
            <w:r>
              <w:rPr>
                <w:rFonts w:hint="default" w:ascii="Times New Roman" w:hAnsi="Times New Roman" w:cs="Times New Roman"/>
                <w:b/>
                <w:bCs/>
              </w:rPr>
              <w:t>,</w:t>
            </w:r>
            <w:r>
              <w:rPr>
                <w:b/>
                <w:bCs/>
              </w:rPr>
              <w:t xml:space="preserve"> e serem verdadeiras as informações por mim prestadas. Nestes termos, pede deferimento</w:t>
            </w:r>
            <w:r>
              <w:rPr>
                <w:rFonts w:hint="default"/>
                <w:b/>
                <w:bCs/>
                <w:lang w:val="pt-BR"/>
              </w:rPr>
              <w:t>.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rPr>
                <w:sz w:val="16"/>
              </w:rPr>
            </w:pPr>
          </w:p>
          <w:p>
            <w:pPr>
              <w:widowControl w:val="0"/>
              <w:rPr>
                <w:sz w:val="16"/>
              </w:rPr>
            </w:pPr>
          </w:p>
          <w:p>
            <w:pPr>
              <w:widowControl w:val="0"/>
              <w:rPr>
                <w:sz w:val="16"/>
              </w:rPr>
            </w:pPr>
          </w:p>
          <w:p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6"/>
      </w:pPr>
    </w:p>
    <w:p>
      <w:pPr>
        <w:pStyle w:val="6"/>
      </w:pPr>
    </w:p>
    <w:p>
      <w:pPr>
        <w:pStyle w:val="6"/>
      </w:pPr>
      <w:r>
        <w:t>__________________</w:t>
      </w:r>
    </w:p>
    <w:p>
      <w:pPr>
        <w:pStyle w:val="6"/>
        <w:rPr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>
      <w:pPr>
        <w:pStyle w:val="8"/>
        <w:spacing w:before="0" w:after="0" w:line="240" w:lineRule="auto"/>
        <w:ind w:left="0" w:right="0"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 - família</w:t>
      </w:r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ind w:left="0" w:right="0"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 - 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>
      <w:pPr>
        <w:ind w:left="0" w:right="0" w:firstLine="448"/>
        <w:jc w:val="both"/>
      </w:pPr>
      <w:r>
        <w:rPr>
          <w:rFonts w:ascii="Arial" w:hAnsi="Arial" w:cs="Arial"/>
          <w:color w:val="000000"/>
          <w:sz w:val="16"/>
          <w:szCs w:val="16"/>
        </w:rPr>
        <w:t>a) aquela com renda familiar mensal</w:t>
      </w:r>
      <w:r>
        <w:rPr>
          <w:rStyle w:val="14"/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14"/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>
      <w:pPr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a que possua renda familiar mensal de até três salários mínimos;</w:t>
      </w:r>
    </w:p>
    <w:p>
      <w:pPr>
        <w:ind w:left="0" w:right="0"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III - 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7"/>
        <w:spacing w:before="0" w:after="0"/>
        <w:ind w:left="0" w:right="0" w:firstLine="448"/>
        <w:jc w:val="both"/>
      </w:pPr>
      <w:r>
        <w:rPr>
          <w:rFonts w:ascii="Arial" w:hAnsi="Arial" w:cs="Arial"/>
          <w:b/>
        </w:rPr>
        <w:t>IV - 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 Programa de Erradicação do Trabalho Infantil;</w:t>
      </w:r>
    </w:p>
    <w:p>
      <w:pPr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Programa Agente Jovem de Desenvolvimento Social e Humano;</w:t>
      </w:r>
    </w:p>
    <w:p>
      <w:pPr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 Programa Bolsa Família e os programas remanescentes nele unificados;</w:t>
      </w:r>
    </w:p>
    <w:p>
      <w:pPr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 Programa Nacional de Inclusão do Jovem - Pró-Jovem;</w:t>
      </w:r>
    </w:p>
    <w:p>
      <w:pPr>
        <w:pStyle w:val="8"/>
        <w:spacing w:before="0" w:after="0" w:line="240" w:lineRule="auto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e) 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8"/>
        <w:spacing w:before="0" w:after="0" w:line="240" w:lineRule="auto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f) demais programas de transferência condicionada de renda implementados por Estados, Distrito Federal ou Municípios;</w:t>
      </w:r>
    </w:p>
    <w:p>
      <w:pPr>
        <w:pStyle w:val="8"/>
        <w:spacing w:before="0" w:after="0" w:line="240" w:lineRule="auto"/>
        <w:ind w:left="0" w:right="0"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V - renda familiar</w:t>
      </w:r>
      <w:r>
        <w:rPr>
          <w:rStyle w:val="14"/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/>
    <w:sectPr>
      <w:pgSz w:w="12240" w:h="15840"/>
      <w:pgMar w:top="1079" w:right="720" w:bottom="993" w:left="1440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1AF6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overflowPunct w:val="0"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"/>
    <w:basedOn w:val="6"/>
    <w:qFormat/>
    <w:uiPriority w:val="0"/>
    <w:rPr>
      <w:rFonts w:cs="Mangal"/>
    </w:rPr>
  </w:style>
  <w:style w:type="paragraph" w:styleId="6">
    <w:name w:val="Body Text"/>
    <w:basedOn w:val="1"/>
    <w:qFormat/>
    <w:uiPriority w:val="0"/>
    <w:pPr>
      <w:jc w:val="both"/>
    </w:pPr>
  </w:style>
  <w:style w:type="paragraph" w:styleId="7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8">
    <w:name w:val="Body Text 2"/>
    <w:basedOn w:val="1"/>
    <w:qFormat/>
    <w:uiPriority w:val="0"/>
    <w:pPr>
      <w:spacing w:before="0" w:after="120" w:line="480" w:lineRule="auto"/>
    </w:pPr>
  </w:style>
  <w:style w:type="paragraph" w:styleId="9">
    <w:name w:val="caption"/>
    <w:basedOn w:val="1"/>
    <w:next w:val="1"/>
    <w:qFormat/>
    <w:uiPriority w:val="0"/>
    <w:rPr>
      <w:b/>
      <w:sz w:val="20"/>
      <w:szCs w:val="20"/>
    </w:rPr>
  </w:style>
  <w:style w:type="character" w:customStyle="1" w:styleId="10">
    <w:name w:val="Título 1 Char"/>
    <w:basedOn w:val="3"/>
    <w:qFormat/>
    <w:uiPriority w:val="0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customStyle="1" w:styleId="11">
    <w:name w:val="Corpo de texto Char"/>
    <w:basedOn w:val="3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2">
    <w:name w:val="Corpo de texto 2 Char"/>
    <w:basedOn w:val="3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3">
    <w:name w:val="Corpo de texto 3 Char"/>
    <w:basedOn w:val="3"/>
    <w:qFormat/>
    <w:uiPriority w:val="0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customStyle="1" w:styleId="14">
    <w:name w:val="apple-converted-space"/>
    <w:basedOn w:val="3"/>
    <w:qFormat/>
    <w:uiPriority w:val="0"/>
  </w:style>
  <w:style w:type="paragraph" w:customStyle="1" w:styleId="15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6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7">
    <w:name w:val="Conteúdo da tabela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366</Words>
  <Characters>2058</Characters>
  <Paragraphs>35</Paragraphs>
  <TotalTime>1</TotalTime>
  <ScaleCrop>false</ScaleCrop>
  <LinksUpToDate>false</LinksUpToDate>
  <CharactersWithSpaces>2392</CharactersWithSpaces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cp:lastModifiedBy>Departamento</cp:lastModifiedBy>
  <dcterms:modified xsi:type="dcterms:W3CDTF">2023-04-10T14:00:45Z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1046-11.2.0.11516</vt:lpwstr>
  </property>
  <property fmtid="{D5CDD505-2E9C-101B-9397-08002B2CF9AE}" pid="7" name="ICV">
    <vt:lpwstr>DD03FF6C304F46799D156A9CD3D8B455</vt:lpwstr>
  </property>
</Properties>
</file>